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02" w:rsidRDefault="00560702" w:rsidP="005607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60702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560702" w:rsidRPr="00560702" w:rsidRDefault="00560702" w:rsidP="0056070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560702" w:rsidRPr="00560702" w:rsidRDefault="00560702" w:rsidP="00560702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560702">
        <w:rPr>
          <w:rFonts w:ascii="Times New Roman" w:hAnsi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560702" w:rsidRPr="00560702" w:rsidRDefault="00560702" w:rsidP="00560702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  <w:lang w:eastAsia="ru-RU"/>
        </w:rPr>
      </w:pPr>
    </w:p>
    <w:p w:rsidR="00560702" w:rsidRPr="00560702" w:rsidRDefault="00560702" w:rsidP="00560702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  <w:lang w:eastAsia="ru-RU"/>
        </w:rPr>
      </w:pPr>
      <w:r w:rsidRPr="00560702">
        <w:rPr>
          <w:rFonts w:ascii="Times New Roman" w:hAnsi="Times New Roman"/>
          <w:b/>
          <w:spacing w:val="40"/>
          <w:sz w:val="36"/>
          <w:szCs w:val="36"/>
          <w:lang w:eastAsia="ru-RU"/>
        </w:rPr>
        <w:t>ПОСТАНОВЛЕНИЕ</w:t>
      </w:r>
    </w:p>
    <w:p w:rsidR="00560702" w:rsidRPr="00560702" w:rsidRDefault="00560702" w:rsidP="00560702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560702" w:rsidRPr="00560702" w:rsidRDefault="00560702" w:rsidP="00560702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60702">
        <w:rPr>
          <w:rFonts w:ascii="Times New Roman" w:hAnsi="Times New Roman"/>
          <w:b/>
          <w:sz w:val="36"/>
          <w:szCs w:val="36"/>
          <w:lang w:eastAsia="ru-RU"/>
        </w:rPr>
        <w:t xml:space="preserve">         </w:t>
      </w:r>
      <w:r w:rsidRPr="00560702">
        <w:rPr>
          <w:rFonts w:ascii="Times New Roman" w:hAnsi="Times New Roman"/>
          <w:sz w:val="20"/>
          <w:szCs w:val="20"/>
          <w:lang w:eastAsia="ru-RU"/>
        </w:rPr>
        <w:t xml:space="preserve">_____________________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560702">
        <w:rPr>
          <w:rFonts w:ascii="Times New Roman" w:hAnsi="Times New Roman"/>
          <w:sz w:val="20"/>
          <w:szCs w:val="20"/>
          <w:lang w:eastAsia="ru-RU"/>
        </w:rPr>
        <w:t xml:space="preserve">      № _________</w:t>
      </w:r>
    </w:p>
    <w:p w:rsidR="00560702" w:rsidRPr="00560702" w:rsidRDefault="00560702" w:rsidP="00560702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0702">
        <w:rPr>
          <w:rFonts w:ascii="Times New Roman" w:hAnsi="Times New Roman"/>
          <w:sz w:val="20"/>
          <w:szCs w:val="20"/>
          <w:lang w:eastAsia="ru-RU"/>
        </w:rPr>
        <w:t>г. Биробиджан</w:t>
      </w:r>
    </w:p>
    <w:p w:rsidR="000E3179" w:rsidRPr="00560702" w:rsidRDefault="00560702" w:rsidP="00560702">
      <w:pPr>
        <w:spacing w:after="0" w:line="240" w:lineRule="auto"/>
        <w:rPr>
          <w:rFonts w:ascii="Calibri" w:hAnsi="Calibri"/>
          <w:sz w:val="24"/>
          <w:szCs w:val="24"/>
          <w:lang w:eastAsia="ru-RU"/>
        </w:rPr>
      </w:pPr>
      <w:r w:rsidRPr="00560702">
        <w:rPr>
          <w:rFonts w:ascii="Times New Roman" w:hAnsi="Times New Roman"/>
          <w:sz w:val="32"/>
          <w:szCs w:val="32"/>
          <w:lang w:eastAsia="ru-RU"/>
        </w:rPr>
        <w:t>⌐                                          ¬</w:t>
      </w:r>
    </w:p>
    <w:p w:rsidR="0031676B" w:rsidRPr="0031676B" w:rsidRDefault="0031676B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 w:rsidRPr="0031676B">
        <w:rPr>
          <w:rFonts w:ascii="Times New Roman" w:hAnsi="Times New Roman"/>
          <w:sz w:val="28"/>
          <w:szCs w:val="20"/>
          <w:lang w:eastAsia="ru-RU"/>
        </w:rPr>
        <w:t>Об утверждении П</w:t>
      </w:r>
      <w:r w:rsidR="00483B98">
        <w:rPr>
          <w:rFonts w:ascii="Times New Roman" w:hAnsi="Times New Roman"/>
          <w:sz w:val="28"/>
          <w:szCs w:val="20"/>
          <w:lang w:eastAsia="ru-RU"/>
        </w:rPr>
        <w:t>равил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предоставления </w:t>
      </w:r>
      <w:r w:rsidR="00483B98">
        <w:rPr>
          <w:rFonts w:ascii="Times New Roman" w:hAnsi="Times New Roman"/>
          <w:sz w:val="28"/>
          <w:szCs w:val="20"/>
          <w:lang w:eastAsia="ru-RU"/>
        </w:rPr>
        <w:t xml:space="preserve">и методики распределения из областного бюджета </w:t>
      </w:r>
      <w:r w:rsidR="00483B98" w:rsidRPr="0031676B">
        <w:rPr>
          <w:rFonts w:ascii="Times New Roman" w:hAnsi="Times New Roman"/>
          <w:sz w:val="28"/>
          <w:szCs w:val="20"/>
          <w:lang w:eastAsia="ru-RU"/>
        </w:rPr>
        <w:t xml:space="preserve">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="00483B98" w:rsidRPr="0031676B">
        <w:rPr>
          <w:rFonts w:ascii="Times New Roman" w:hAnsi="Times New Roman"/>
          <w:sz w:val="28"/>
          <w:szCs w:val="20"/>
          <w:lang w:eastAsia="ru-RU"/>
        </w:rPr>
        <w:t>Еврейской автономной области</w:t>
      </w:r>
      <w:r w:rsidR="00483B9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0"/>
          <w:lang w:eastAsia="ru-RU"/>
        </w:rPr>
        <w:t>в 20</w:t>
      </w:r>
      <w:r w:rsidR="00095E93">
        <w:rPr>
          <w:rFonts w:ascii="Times New Roman" w:hAnsi="Times New Roman"/>
          <w:sz w:val="28"/>
          <w:szCs w:val="20"/>
          <w:lang w:eastAsia="ru-RU"/>
        </w:rPr>
        <w:t>2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5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году дотаци</w:t>
      </w:r>
      <w:r w:rsidR="006E7A2B">
        <w:rPr>
          <w:rFonts w:ascii="Times New Roman" w:hAnsi="Times New Roman"/>
          <w:sz w:val="28"/>
          <w:szCs w:val="20"/>
          <w:lang w:eastAsia="ru-RU"/>
        </w:rPr>
        <w:t>й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0780D" w:rsidRPr="0080780D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676B" w:rsidRPr="0031676B" w:rsidRDefault="00296A96" w:rsidP="00196792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соответствии со статьей 10</w:t>
      </w:r>
      <w:r>
        <w:rPr>
          <w:rFonts w:ascii="Times New Roman" w:hAnsi="Times New Roman"/>
          <w:sz w:val="28"/>
          <w:szCs w:val="20"/>
          <w:vertAlign w:val="superscript"/>
          <w:lang w:eastAsia="ru-RU"/>
        </w:rPr>
        <w:t>1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закона Еврейской автономной области </w:t>
      </w:r>
      <w:r w:rsidR="00EB2E6B">
        <w:rPr>
          <w:rFonts w:ascii="Times New Roman" w:hAnsi="Times New Roman"/>
          <w:sz w:val="28"/>
          <w:szCs w:val="20"/>
          <w:lang w:eastAsia="ru-RU"/>
        </w:rPr>
        <w:br/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от 30.09.2005 № 546-ОЗ «О межбюджетных отношениях в Еврейской автономной области» и статьей </w:t>
      </w:r>
      <w:r w:rsidR="003B2EDA">
        <w:rPr>
          <w:rFonts w:ascii="Times New Roman" w:hAnsi="Times New Roman"/>
          <w:sz w:val="28"/>
          <w:szCs w:val="20"/>
          <w:lang w:eastAsia="ru-RU"/>
        </w:rPr>
        <w:t>1</w:t>
      </w:r>
      <w:r w:rsidR="00953F6C">
        <w:rPr>
          <w:rFonts w:ascii="Times New Roman" w:hAnsi="Times New Roman"/>
          <w:sz w:val="28"/>
          <w:szCs w:val="20"/>
          <w:lang w:eastAsia="ru-RU"/>
        </w:rPr>
        <w:t>3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закона Еврейской автономной области </w:t>
      </w:r>
      <w:r w:rsidR="00BE6DF7">
        <w:rPr>
          <w:rFonts w:ascii="Times New Roman" w:hAnsi="Times New Roman"/>
          <w:sz w:val="28"/>
          <w:szCs w:val="20"/>
          <w:lang w:eastAsia="ru-RU"/>
        </w:rPr>
        <w:br/>
      </w:r>
      <w:r w:rsidR="00196792" w:rsidRPr="00196792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2D3B33">
        <w:rPr>
          <w:rFonts w:ascii="Times New Roman" w:hAnsi="Times New Roman"/>
          <w:sz w:val="28"/>
          <w:szCs w:val="20"/>
          <w:lang w:eastAsia="ru-RU"/>
        </w:rPr>
        <w:t>1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7</w:t>
      </w:r>
      <w:r w:rsidR="00196792" w:rsidRPr="00196792">
        <w:rPr>
          <w:rFonts w:ascii="Times New Roman" w:hAnsi="Times New Roman"/>
          <w:sz w:val="28"/>
          <w:szCs w:val="20"/>
          <w:lang w:eastAsia="ru-RU"/>
        </w:rPr>
        <w:t>.12.202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4</w:t>
      </w:r>
      <w:r w:rsidR="00196792" w:rsidRPr="0019679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96792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482</w:t>
      </w:r>
      <w:r w:rsidR="00196792">
        <w:rPr>
          <w:rFonts w:ascii="Times New Roman" w:hAnsi="Times New Roman"/>
          <w:sz w:val="28"/>
          <w:szCs w:val="20"/>
          <w:lang w:eastAsia="ru-RU"/>
        </w:rPr>
        <w:t>-ОЗ «</w:t>
      </w:r>
      <w:r w:rsidR="00196792" w:rsidRPr="00196792">
        <w:rPr>
          <w:rFonts w:ascii="Times New Roman" w:hAnsi="Times New Roman"/>
          <w:sz w:val="28"/>
          <w:szCs w:val="20"/>
          <w:lang w:eastAsia="ru-RU"/>
        </w:rPr>
        <w:t>Об областном бюджете на 202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5</w:t>
      </w:r>
      <w:r w:rsidR="00196792" w:rsidRPr="00196792">
        <w:rPr>
          <w:rFonts w:ascii="Times New Roman" w:hAnsi="Times New Roman"/>
          <w:sz w:val="28"/>
          <w:szCs w:val="20"/>
          <w:lang w:eastAsia="ru-RU"/>
        </w:rPr>
        <w:t xml:space="preserve"> год и</w:t>
      </w:r>
      <w:r w:rsidR="00196792">
        <w:rPr>
          <w:rFonts w:ascii="Times New Roman" w:hAnsi="Times New Roman"/>
          <w:sz w:val="28"/>
          <w:szCs w:val="20"/>
          <w:lang w:eastAsia="ru-RU"/>
        </w:rPr>
        <w:t xml:space="preserve"> на плановый период 202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6</w:t>
      </w:r>
      <w:r w:rsidR="00196792">
        <w:rPr>
          <w:rFonts w:ascii="Times New Roman" w:hAnsi="Times New Roman"/>
          <w:sz w:val="28"/>
          <w:szCs w:val="20"/>
          <w:lang w:eastAsia="ru-RU"/>
        </w:rPr>
        <w:t xml:space="preserve"> и 202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7</w:t>
      </w:r>
      <w:r w:rsidR="00196792">
        <w:rPr>
          <w:rFonts w:ascii="Times New Roman" w:hAnsi="Times New Roman"/>
          <w:sz w:val="28"/>
          <w:szCs w:val="20"/>
          <w:lang w:eastAsia="ru-RU"/>
        </w:rPr>
        <w:t xml:space="preserve"> годов»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правительство Еврейской автономной области</w:t>
      </w: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 w:rsidRPr="0031676B">
        <w:rPr>
          <w:rFonts w:ascii="Times New Roman" w:hAnsi="Times New Roman"/>
          <w:noProof/>
          <w:sz w:val="28"/>
          <w:szCs w:val="20"/>
          <w:lang w:eastAsia="ru-RU"/>
        </w:rPr>
        <w:t>ПОСТАНОВЛЯЕТ:</w:t>
      </w:r>
    </w:p>
    <w:p w:rsidR="0031676B" w:rsidRPr="0031676B" w:rsidRDefault="00483B9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Утвердить прилагаемые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3B98">
        <w:rPr>
          <w:rFonts w:ascii="Times New Roman" w:hAnsi="Times New Roman"/>
          <w:sz w:val="28"/>
          <w:szCs w:val="20"/>
          <w:lang w:eastAsia="ru-RU"/>
        </w:rPr>
        <w:t>Правил</w:t>
      </w:r>
      <w:r>
        <w:rPr>
          <w:rFonts w:ascii="Times New Roman" w:hAnsi="Times New Roman"/>
          <w:sz w:val="28"/>
          <w:szCs w:val="20"/>
          <w:lang w:eastAsia="ru-RU"/>
        </w:rPr>
        <w:t>а предоставления и методику</w:t>
      </w:r>
      <w:r w:rsidRPr="00483B98">
        <w:rPr>
          <w:rFonts w:ascii="Times New Roman" w:hAnsi="Times New Roman"/>
          <w:sz w:val="28"/>
          <w:szCs w:val="20"/>
          <w:lang w:eastAsia="ru-RU"/>
        </w:rPr>
        <w:t xml:space="preserve"> распределения из областного бюджета 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Pr="00483B98">
        <w:rPr>
          <w:rFonts w:ascii="Times New Roman" w:hAnsi="Times New Roman"/>
          <w:sz w:val="28"/>
          <w:szCs w:val="20"/>
          <w:lang w:eastAsia="ru-RU"/>
        </w:rPr>
        <w:t>Еврейской автономной области в 202</w:t>
      </w:r>
      <w:r w:rsidR="002D3B33" w:rsidRPr="002D3B33">
        <w:rPr>
          <w:rFonts w:ascii="Times New Roman" w:hAnsi="Times New Roman"/>
          <w:sz w:val="28"/>
          <w:szCs w:val="20"/>
          <w:lang w:eastAsia="ru-RU"/>
        </w:rPr>
        <w:t>5</w:t>
      </w:r>
      <w:r w:rsidRPr="00483B98">
        <w:rPr>
          <w:rFonts w:ascii="Times New Roman" w:hAnsi="Times New Roman"/>
          <w:sz w:val="28"/>
          <w:szCs w:val="20"/>
          <w:lang w:eastAsia="ru-RU"/>
        </w:rPr>
        <w:t xml:space="preserve"> году дотаций 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>на поддержку мер по обеспечению сбалансированности местных бюджетов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31676B" w:rsidRPr="0031676B" w:rsidRDefault="002C76A6" w:rsidP="0031676B">
      <w:pPr>
        <w:tabs>
          <w:tab w:val="left" w:pos="9072"/>
          <w:tab w:val="left" w:pos="9214"/>
          <w:tab w:val="left" w:pos="93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2D3B33" w:rsidRPr="002D3B33" w:rsidRDefault="002D3B33" w:rsidP="002D3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2D3B33">
        <w:rPr>
          <w:rFonts w:ascii="Times New Roman" w:hAnsi="Times New Roman"/>
          <w:sz w:val="28"/>
          <w:szCs w:val="20"/>
          <w:lang w:eastAsia="ru-RU"/>
        </w:rPr>
        <w:t>Исполняющий</w:t>
      </w:r>
      <w:proofErr w:type="gramEnd"/>
      <w:r w:rsidRPr="002D3B33">
        <w:rPr>
          <w:rFonts w:ascii="Times New Roman" w:hAnsi="Times New Roman"/>
          <w:sz w:val="28"/>
          <w:szCs w:val="20"/>
          <w:lang w:eastAsia="ru-RU"/>
        </w:rPr>
        <w:t xml:space="preserve"> обязанности</w:t>
      </w:r>
    </w:p>
    <w:p w:rsidR="002D3B33" w:rsidRPr="002D3B33" w:rsidRDefault="002D3B33" w:rsidP="002D3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Pr="002D3B33">
        <w:rPr>
          <w:rFonts w:ascii="Times New Roman" w:hAnsi="Times New Roman"/>
          <w:sz w:val="28"/>
          <w:szCs w:val="20"/>
          <w:lang w:eastAsia="ru-RU"/>
        </w:rPr>
        <w:t>редседателя правительства</w:t>
      </w:r>
      <w:r w:rsidRPr="002D3B33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                                 И.О. </w:t>
      </w:r>
      <w:proofErr w:type="spellStart"/>
      <w:r w:rsidRPr="002D3B33">
        <w:rPr>
          <w:rFonts w:ascii="Times New Roman" w:hAnsi="Times New Roman"/>
          <w:sz w:val="28"/>
          <w:szCs w:val="20"/>
          <w:lang w:eastAsia="ru-RU"/>
        </w:rPr>
        <w:t>Чагаев</w:t>
      </w:r>
      <w:proofErr w:type="spellEnd"/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  <w:sectPr w:rsidR="0031676B" w:rsidRPr="0031676B" w:rsidSect="00FA476E">
          <w:headerReference w:type="even" r:id="rId8"/>
          <w:headerReference w:type="default" r:id="rId9"/>
          <w:pgSz w:w="11907" w:h="16840" w:code="9"/>
          <w:pgMar w:top="1134" w:right="851" w:bottom="1134" w:left="1701" w:header="454" w:footer="454" w:gutter="0"/>
          <w:pgNumType w:start="1"/>
          <w:cols w:space="720"/>
          <w:titlePg/>
        </w:sectPr>
      </w:pP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="00791188">
        <w:rPr>
          <w:rFonts w:ascii="Times New Roman" w:hAnsi="Times New Roman"/>
          <w:sz w:val="28"/>
          <w:szCs w:val="28"/>
          <w:lang w:eastAsia="ru-RU"/>
        </w:rPr>
        <w:t>Ы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040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от ____________ № __________</w:t>
      </w: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91188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91188">
        <w:rPr>
          <w:rFonts w:ascii="Times New Roman" w:hAnsi="Times New Roman"/>
          <w:sz w:val="28"/>
          <w:szCs w:val="28"/>
          <w:lang w:eastAsia="ru-RU"/>
        </w:rPr>
        <w:t>Правила</w:t>
      </w:r>
    </w:p>
    <w:p w:rsidR="00791188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 и методика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распределения из областного бюджета бюджетам муниципальных образований Евр</w:t>
      </w:r>
      <w:r w:rsidR="00095E93">
        <w:rPr>
          <w:rFonts w:ascii="Times New Roman" w:hAnsi="Times New Roman"/>
          <w:sz w:val="28"/>
          <w:szCs w:val="28"/>
          <w:lang w:eastAsia="ru-RU"/>
        </w:rPr>
        <w:t>ейской автономной области в 202</w:t>
      </w:r>
      <w:r w:rsidR="002D3B33">
        <w:rPr>
          <w:rFonts w:ascii="Times New Roman" w:hAnsi="Times New Roman"/>
          <w:sz w:val="28"/>
          <w:szCs w:val="28"/>
          <w:lang w:eastAsia="ru-RU"/>
        </w:rPr>
        <w:t>5</w:t>
      </w:r>
      <w:r w:rsidR="0080780D">
        <w:rPr>
          <w:rFonts w:ascii="Times New Roman" w:hAnsi="Times New Roman"/>
          <w:sz w:val="28"/>
          <w:szCs w:val="28"/>
          <w:lang w:eastAsia="ru-RU"/>
        </w:rPr>
        <w:t xml:space="preserve"> году дотаций на</w:t>
      </w:r>
      <w:r w:rsidR="0080780D" w:rsidRPr="0080780D">
        <w:rPr>
          <w:rFonts w:ascii="Times New Roman" w:hAnsi="Times New Roman"/>
          <w:sz w:val="28"/>
          <w:szCs w:val="28"/>
          <w:lang w:eastAsia="ru-RU"/>
        </w:rPr>
        <w:t xml:space="preserve"> поддержку мер по обеспечению сбалансированности местных бюджетов</w:t>
      </w:r>
    </w:p>
    <w:p w:rsidR="0080780D" w:rsidRPr="0031676B" w:rsidRDefault="0080780D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791188" w:rsidRDefault="0031676B" w:rsidP="0063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0"/>
          <w:lang w:eastAsia="ru-RU"/>
        </w:rPr>
        <w:t xml:space="preserve">1. </w:t>
      </w:r>
      <w:proofErr w:type="gramStart"/>
      <w:r w:rsidR="0014327B">
        <w:rPr>
          <w:rFonts w:ascii="Times New Roman" w:hAnsi="Times New Roman"/>
          <w:sz w:val="28"/>
          <w:szCs w:val="20"/>
          <w:lang w:eastAsia="ru-RU"/>
        </w:rPr>
        <w:t>Настоящие</w:t>
      </w:r>
      <w:r w:rsidR="00C4316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>Правил</w:t>
      </w:r>
      <w:r w:rsidR="00946683">
        <w:rPr>
          <w:rFonts w:ascii="Times New Roman" w:hAnsi="Times New Roman"/>
          <w:sz w:val="28"/>
          <w:szCs w:val="20"/>
          <w:lang w:eastAsia="ru-RU"/>
        </w:rPr>
        <w:t>а предоставления и методика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распределения из областного бюджета 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>Евр</w:t>
      </w:r>
      <w:r w:rsidR="00095E93">
        <w:rPr>
          <w:rFonts w:ascii="Times New Roman" w:hAnsi="Times New Roman"/>
          <w:sz w:val="28"/>
          <w:szCs w:val="20"/>
          <w:lang w:eastAsia="ru-RU"/>
        </w:rPr>
        <w:t>ейской автономной области в 202</w:t>
      </w:r>
      <w:r w:rsidR="002D3B33">
        <w:rPr>
          <w:rFonts w:ascii="Times New Roman" w:hAnsi="Times New Roman"/>
          <w:sz w:val="28"/>
          <w:szCs w:val="20"/>
          <w:lang w:eastAsia="ru-RU"/>
        </w:rPr>
        <w:t>5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году дотаций 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>на поддержку мер по обеспечению сбалансированности местных бюджетов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3163">
        <w:rPr>
          <w:rFonts w:ascii="Times New Roman" w:hAnsi="Times New Roman"/>
          <w:sz w:val="28"/>
          <w:szCs w:val="28"/>
        </w:rPr>
        <w:t xml:space="preserve">(далее – </w:t>
      </w:r>
      <w:r w:rsidR="00156A6F">
        <w:rPr>
          <w:rFonts w:ascii="Times New Roman" w:hAnsi="Times New Roman"/>
          <w:sz w:val="28"/>
          <w:szCs w:val="28"/>
        </w:rPr>
        <w:t>Правила</w:t>
      </w:r>
      <w:r w:rsidR="00BE6DF7">
        <w:rPr>
          <w:rFonts w:ascii="Times New Roman" w:hAnsi="Times New Roman"/>
          <w:sz w:val="28"/>
          <w:szCs w:val="28"/>
        </w:rPr>
        <w:t xml:space="preserve"> и методика</w:t>
      </w:r>
      <w:r w:rsidR="00C43163">
        <w:rPr>
          <w:rFonts w:ascii="Times New Roman" w:hAnsi="Times New Roman"/>
          <w:sz w:val="28"/>
          <w:szCs w:val="28"/>
        </w:rPr>
        <w:t xml:space="preserve">) </w:t>
      </w:r>
      <w:r w:rsidR="00946683" w:rsidRPr="00946683">
        <w:rPr>
          <w:rFonts w:ascii="Times New Roman" w:hAnsi="Times New Roman"/>
          <w:sz w:val="28"/>
          <w:szCs w:val="28"/>
        </w:rPr>
        <w:t xml:space="preserve">устанавливают </w:t>
      </w:r>
      <w:r w:rsidR="00CC0903">
        <w:rPr>
          <w:rFonts w:ascii="Times New Roman" w:hAnsi="Times New Roman"/>
          <w:sz w:val="28"/>
          <w:szCs w:val="28"/>
        </w:rPr>
        <w:t>порядок и условие</w:t>
      </w:r>
      <w:r w:rsidR="00CC0903" w:rsidRPr="00946683">
        <w:rPr>
          <w:rFonts w:ascii="Times New Roman" w:hAnsi="Times New Roman"/>
          <w:sz w:val="28"/>
          <w:szCs w:val="28"/>
        </w:rPr>
        <w:t xml:space="preserve"> предоставления</w:t>
      </w:r>
      <w:r w:rsidR="00946683" w:rsidRPr="00946683">
        <w:rPr>
          <w:rFonts w:ascii="Times New Roman" w:hAnsi="Times New Roman"/>
          <w:sz w:val="28"/>
          <w:szCs w:val="28"/>
        </w:rPr>
        <w:t xml:space="preserve">, </w:t>
      </w:r>
      <w:r w:rsidR="00FD31E1">
        <w:rPr>
          <w:rFonts w:ascii="Times New Roman" w:hAnsi="Times New Roman"/>
          <w:sz w:val="28"/>
          <w:szCs w:val="28"/>
        </w:rPr>
        <w:t>а также порядок расчета</w:t>
      </w:r>
      <w:r w:rsidR="00DD15CF">
        <w:rPr>
          <w:rFonts w:ascii="Times New Roman" w:hAnsi="Times New Roman"/>
          <w:sz w:val="28"/>
          <w:szCs w:val="28"/>
        </w:rPr>
        <w:t xml:space="preserve"> размера</w:t>
      </w:r>
      <w:r w:rsidR="00FD31E1">
        <w:rPr>
          <w:rFonts w:ascii="Times New Roman" w:hAnsi="Times New Roman"/>
          <w:sz w:val="28"/>
          <w:szCs w:val="28"/>
        </w:rPr>
        <w:t xml:space="preserve"> предоставляемых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из областного бюджета бюджетам муниципальных </w:t>
      </w:r>
      <w:r w:rsidR="00EA43E2">
        <w:rPr>
          <w:rFonts w:ascii="Times New Roman" w:hAnsi="Times New Roman"/>
          <w:sz w:val="28"/>
          <w:szCs w:val="20"/>
          <w:lang w:eastAsia="ru-RU"/>
        </w:rPr>
        <w:t>образований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</w:t>
      </w:r>
      <w:r w:rsidR="003F0FC4">
        <w:rPr>
          <w:rFonts w:ascii="Times New Roman" w:hAnsi="Times New Roman"/>
          <w:sz w:val="28"/>
          <w:szCs w:val="20"/>
          <w:lang w:eastAsia="ru-RU"/>
        </w:rPr>
        <w:t xml:space="preserve"> (далее – муниципальн</w:t>
      </w:r>
      <w:r w:rsidR="00BE6DF7">
        <w:rPr>
          <w:rFonts w:ascii="Times New Roman" w:hAnsi="Times New Roman"/>
          <w:sz w:val="28"/>
          <w:szCs w:val="20"/>
          <w:lang w:eastAsia="ru-RU"/>
        </w:rPr>
        <w:t>о</w:t>
      </w:r>
      <w:r w:rsidR="003F0FC4">
        <w:rPr>
          <w:rFonts w:ascii="Times New Roman" w:hAnsi="Times New Roman"/>
          <w:sz w:val="28"/>
          <w:szCs w:val="20"/>
          <w:lang w:eastAsia="ru-RU"/>
        </w:rPr>
        <w:t>е образовани</w:t>
      </w:r>
      <w:r w:rsidR="00BE6DF7">
        <w:rPr>
          <w:rFonts w:ascii="Times New Roman" w:hAnsi="Times New Roman"/>
          <w:sz w:val="28"/>
          <w:szCs w:val="20"/>
          <w:lang w:eastAsia="ru-RU"/>
        </w:rPr>
        <w:t>е</w:t>
      </w:r>
      <w:r w:rsidR="003F0FC4">
        <w:rPr>
          <w:rFonts w:ascii="Times New Roman" w:hAnsi="Times New Roman"/>
          <w:sz w:val="28"/>
          <w:szCs w:val="20"/>
          <w:lang w:eastAsia="ru-RU"/>
        </w:rPr>
        <w:t>)</w:t>
      </w:r>
      <w:r w:rsidR="002D3B33">
        <w:rPr>
          <w:rFonts w:ascii="Times New Roman" w:hAnsi="Times New Roman"/>
          <w:sz w:val="28"/>
          <w:szCs w:val="20"/>
          <w:lang w:eastAsia="ru-RU"/>
        </w:rPr>
        <w:t xml:space="preserve"> в 2025</w:t>
      </w:r>
      <w:r w:rsidR="005C51FA">
        <w:rPr>
          <w:rFonts w:ascii="Times New Roman" w:hAnsi="Times New Roman"/>
          <w:sz w:val="28"/>
          <w:szCs w:val="20"/>
          <w:lang w:eastAsia="ru-RU"/>
        </w:rPr>
        <w:t xml:space="preserve"> году</w:t>
      </w:r>
      <w:r w:rsidR="003D7DB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0780D">
        <w:rPr>
          <w:rFonts w:ascii="Times New Roman" w:hAnsi="Times New Roman"/>
          <w:sz w:val="28"/>
          <w:szCs w:val="20"/>
          <w:lang w:eastAsia="ru-RU"/>
        </w:rPr>
        <w:t>дотаций на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 поддержку</w:t>
      </w:r>
      <w:proofErr w:type="gramEnd"/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 мер по обеспечению сбалансированности местных бюджетов</w:t>
      </w:r>
      <w:r w:rsidR="0080780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D7DBB">
        <w:rPr>
          <w:rFonts w:ascii="Times New Roman" w:hAnsi="Times New Roman"/>
          <w:sz w:val="28"/>
          <w:szCs w:val="20"/>
          <w:lang w:eastAsia="ru-RU"/>
        </w:rPr>
        <w:t>на</w:t>
      </w:r>
      <w:r w:rsidR="0080780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D7DBB">
        <w:rPr>
          <w:rFonts w:ascii="Times New Roman" w:hAnsi="Times New Roman"/>
          <w:sz w:val="28"/>
          <w:szCs w:val="20"/>
          <w:lang w:eastAsia="ru-RU"/>
        </w:rPr>
        <w:t>финансовое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 обеспечени</w:t>
      </w:r>
      <w:r w:rsidR="003D7DBB">
        <w:rPr>
          <w:rFonts w:ascii="Times New Roman" w:hAnsi="Times New Roman"/>
          <w:sz w:val="28"/>
          <w:szCs w:val="20"/>
          <w:lang w:eastAsia="ru-RU"/>
        </w:rPr>
        <w:t>е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 расходных обязательств </w:t>
      </w:r>
      <w:r w:rsidR="003D7DBB">
        <w:rPr>
          <w:rFonts w:ascii="Times New Roman" w:hAnsi="Times New Roman"/>
          <w:sz w:val="28"/>
          <w:szCs w:val="20"/>
          <w:lang w:eastAsia="ru-RU"/>
        </w:rPr>
        <w:t>муниципальных образований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 по доведению заработной платы работников </w:t>
      </w:r>
      <w:r w:rsidR="00583375" w:rsidRPr="0080780D">
        <w:rPr>
          <w:rFonts w:ascii="Times New Roman" w:hAnsi="Times New Roman"/>
          <w:sz w:val="28"/>
          <w:szCs w:val="20"/>
          <w:lang w:eastAsia="ru-RU"/>
        </w:rPr>
        <w:t xml:space="preserve">муниципальных учреждений 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до минимального </w:t>
      </w:r>
      <w:proofErr w:type="gramStart"/>
      <w:r w:rsidR="0080780D" w:rsidRPr="0080780D">
        <w:rPr>
          <w:rFonts w:ascii="Times New Roman" w:hAnsi="Times New Roman"/>
          <w:sz w:val="28"/>
          <w:szCs w:val="20"/>
          <w:lang w:eastAsia="ru-RU"/>
        </w:rPr>
        <w:t>размера оплаты труда</w:t>
      </w:r>
      <w:proofErr w:type="gramEnd"/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, установленного </w:t>
      </w:r>
      <w:r w:rsidR="003D7DBB">
        <w:rPr>
          <w:rFonts w:ascii="Times New Roman" w:hAnsi="Times New Roman"/>
          <w:sz w:val="28"/>
          <w:szCs w:val="20"/>
          <w:lang w:eastAsia="ru-RU"/>
        </w:rPr>
        <w:t xml:space="preserve">в соответствии с федеральным законодательством 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с </w:t>
      </w:r>
      <w:r w:rsidR="00843AAA">
        <w:rPr>
          <w:rFonts w:ascii="Times New Roman" w:hAnsi="Times New Roman"/>
          <w:sz w:val="28"/>
          <w:szCs w:val="20"/>
          <w:lang w:eastAsia="ru-RU"/>
        </w:rPr>
        <w:t>0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1 </w:t>
      </w:r>
      <w:r w:rsidR="00196792">
        <w:rPr>
          <w:rFonts w:ascii="Times New Roman" w:hAnsi="Times New Roman"/>
          <w:sz w:val="28"/>
          <w:szCs w:val="20"/>
          <w:lang w:eastAsia="ru-RU"/>
        </w:rPr>
        <w:t>января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 20</w:t>
      </w:r>
      <w:r w:rsidR="0080780D">
        <w:rPr>
          <w:rFonts w:ascii="Times New Roman" w:hAnsi="Times New Roman"/>
          <w:sz w:val="28"/>
          <w:szCs w:val="20"/>
          <w:lang w:eastAsia="ru-RU"/>
        </w:rPr>
        <w:t>2</w:t>
      </w:r>
      <w:r w:rsidR="002D3B33">
        <w:rPr>
          <w:rFonts w:ascii="Times New Roman" w:hAnsi="Times New Roman"/>
          <w:sz w:val="28"/>
          <w:szCs w:val="20"/>
          <w:lang w:eastAsia="ru-RU"/>
        </w:rPr>
        <w:t>5</w:t>
      </w:r>
      <w:r w:rsidR="0080780D" w:rsidRPr="0080780D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7800B9">
        <w:rPr>
          <w:rFonts w:ascii="Times New Roman" w:hAnsi="Times New Roman"/>
          <w:sz w:val="28"/>
          <w:szCs w:val="20"/>
          <w:lang w:eastAsia="ru-RU"/>
        </w:rPr>
        <w:t xml:space="preserve"> (далее – дотация)</w:t>
      </w:r>
      <w:r w:rsidRPr="0031676B">
        <w:rPr>
          <w:rFonts w:ascii="Times New Roman" w:hAnsi="Times New Roman"/>
          <w:sz w:val="28"/>
          <w:szCs w:val="28"/>
          <w:lang w:eastAsia="ru-RU"/>
        </w:rPr>
        <w:t>.</w:t>
      </w:r>
    </w:p>
    <w:p w:rsidR="0031676B" w:rsidRDefault="00791188" w:rsidP="0019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A25679">
        <w:rPr>
          <w:rFonts w:ascii="Times New Roman" w:hAnsi="Times New Roman"/>
          <w:sz w:val="28"/>
          <w:szCs w:val="28"/>
          <w:lang w:eastAsia="ru-RU"/>
        </w:rPr>
        <w:t>Д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отации предоставляются бюджетам </w:t>
      </w:r>
      <w:r w:rsidR="003F0FC4">
        <w:rPr>
          <w:rFonts w:ascii="Times New Roman" w:hAnsi="Times New Roman"/>
          <w:sz w:val="28"/>
          <w:szCs w:val="20"/>
          <w:lang w:eastAsia="ru-RU"/>
        </w:rPr>
        <w:t>муниципальных образований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DDF">
        <w:rPr>
          <w:rFonts w:ascii="Times New Roman" w:hAnsi="Times New Roman"/>
          <w:sz w:val="28"/>
          <w:szCs w:val="28"/>
          <w:lang w:eastAsia="ru-RU"/>
        </w:rPr>
        <w:t>департаменто</w:t>
      </w:r>
      <w:r w:rsidR="0098044A">
        <w:rPr>
          <w:rFonts w:ascii="Times New Roman" w:hAnsi="Times New Roman"/>
          <w:sz w:val="28"/>
          <w:szCs w:val="28"/>
          <w:lang w:eastAsia="ru-RU"/>
        </w:rPr>
        <w:t>м финансов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 (далее – </w:t>
      </w:r>
      <w:r w:rsidR="0098044A">
        <w:rPr>
          <w:rFonts w:ascii="Times New Roman" w:hAnsi="Times New Roman"/>
          <w:sz w:val="28"/>
          <w:szCs w:val="28"/>
          <w:lang w:eastAsia="ru-RU"/>
        </w:rPr>
        <w:t>Департамент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в пределах бюджетных ассигнований, предусмотренных </w:t>
      </w:r>
      <w:r w:rsidR="0098044A">
        <w:rPr>
          <w:rFonts w:ascii="Times New Roman" w:hAnsi="Times New Roman"/>
          <w:sz w:val="28"/>
          <w:szCs w:val="28"/>
          <w:lang w:eastAsia="ru-RU"/>
        </w:rPr>
        <w:t>Департаменту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законом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</w:t>
      </w:r>
      <w:r w:rsidR="00202B48">
        <w:rPr>
          <w:rFonts w:ascii="Times New Roman" w:hAnsi="Times New Roman"/>
          <w:sz w:val="28"/>
          <w:szCs w:val="28"/>
          <w:lang w:eastAsia="ru-RU"/>
        </w:rPr>
        <w:br/>
      </w:r>
      <w:r w:rsidR="00196792" w:rsidRPr="0019679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3B33">
        <w:rPr>
          <w:rFonts w:ascii="Times New Roman" w:hAnsi="Times New Roman"/>
          <w:sz w:val="28"/>
          <w:szCs w:val="28"/>
          <w:lang w:eastAsia="ru-RU"/>
        </w:rPr>
        <w:t>17.12.2024</w:t>
      </w:r>
      <w:r w:rsidR="00196792" w:rsidRPr="00196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679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D3B33">
        <w:rPr>
          <w:rFonts w:ascii="Times New Roman" w:hAnsi="Times New Roman"/>
          <w:sz w:val="28"/>
          <w:szCs w:val="28"/>
          <w:lang w:eastAsia="ru-RU"/>
        </w:rPr>
        <w:t>482</w:t>
      </w:r>
      <w:r w:rsidR="00196792">
        <w:rPr>
          <w:rFonts w:ascii="Times New Roman" w:hAnsi="Times New Roman"/>
          <w:sz w:val="28"/>
          <w:szCs w:val="28"/>
          <w:lang w:eastAsia="ru-RU"/>
        </w:rPr>
        <w:t>-ОЗ «</w:t>
      </w:r>
      <w:r w:rsidR="002D3B33">
        <w:rPr>
          <w:rFonts w:ascii="Times New Roman" w:hAnsi="Times New Roman"/>
          <w:sz w:val="28"/>
          <w:szCs w:val="28"/>
          <w:lang w:eastAsia="ru-RU"/>
        </w:rPr>
        <w:t>Об областном бюджете на 2025</w:t>
      </w:r>
      <w:r w:rsidR="00196792" w:rsidRPr="00196792">
        <w:rPr>
          <w:rFonts w:ascii="Times New Roman" w:hAnsi="Times New Roman"/>
          <w:sz w:val="28"/>
          <w:szCs w:val="28"/>
          <w:lang w:eastAsia="ru-RU"/>
        </w:rPr>
        <w:t xml:space="preserve"> год и на пл</w:t>
      </w:r>
      <w:r w:rsidR="002D3B33">
        <w:rPr>
          <w:rFonts w:ascii="Times New Roman" w:hAnsi="Times New Roman"/>
          <w:sz w:val="28"/>
          <w:szCs w:val="28"/>
          <w:lang w:eastAsia="ru-RU"/>
        </w:rPr>
        <w:t>ановый период 2026 и 2027</w:t>
      </w:r>
      <w:r w:rsidR="003353BC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679">
        <w:rPr>
          <w:rFonts w:ascii="Times New Roman" w:hAnsi="Times New Roman"/>
          <w:sz w:val="28"/>
          <w:szCs w:val="28"/>
          <w:lang w:eastAsia="ru-RU"/>
        </w:rPr>
        <w:t>на предоставление</w:t>
      </w:r>
      <w:r w:rsidR="00156A6F">
        <w:rPr>
          <w:rFonts w:ascii="Times New Roman" w:hAnsi="Times New Roman"/>
          <w:sz w:val="28"/>
          <w:szCs w:val="28"/>
          <w:lang w:eastAsia="ru-RU"/>
        </w:rPr>
        <w:t xml:space="preserve"> дотаций </w:t>
      </w:r>
      <w:r w:rsidR="0080780D" w:rsidRPr="0080780D">
        <w:rPr>
          <w:rFonts w:ascii="Times New Roman" w:hAnsi="Times New Roman"/>
          <w:sz w:val="28"/>
          <w:szCs w:val="28"/>
          <w:lang w:eastAsia="ru-RU"/>
        </w:rPr>
        <w:t>на поддержку мер по обеспечению сбалансированности местных бюджетов</w:t>
      </w:r>
      <w:r w:rsidRPr="0079118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0780D" w:rsidRPr="0080780D" w:rsidRDefault="00E01942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843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Размер дотации i-</w:t>
      </w:r>
      <w:proofErr w:type="spellStart"/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муниципальному образованию рассчитывается по формуле:</w:t>
      </w:r>
    </w:p>
    <w:p w:rsidR="0080780D" w:rsidRPr="0080780D" w:rsidRDefault="0080780D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780D" w:rsidRPr="0080780D" w:rsidRDefault="0080780D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РДот</w:t>
      </w:r>
      <w:proofErr w:type="gramStart"/>
      <w:r w:rsidRPr="004E02E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i</w:t>
      </w:r>
      <w:proofErr w:type="spellEnd"/>
      <w:proofErr w:type="gramEnd"/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= (</w:t>
      </w:r>
      <w:r w:rsidR="002D3B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22 440</w:t>
      </w:r>
      <w:r w:rsidR="003353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,0</w:t>
      </w:r>
      <w:r w:rsidR="00984D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3353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2D3B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3353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F63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242</w:t>
      </w:r>
      <w:r w:rsidR="003353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,0</w:t>
      </w:r>
      <w:r w:rsidR="007221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 х </w:t>
      </w:r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1,6 </w:t>
      </w:r>
      <w:r w:rsidR="0072219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х Ч </w:t>
      </w:r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x 1,302 x </w:t>
      </w:r>
      <w:r w:rsidR="003353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7F63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х 0,5</w:t>
      </w:r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800B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780D" w:rsidRPr="0080780D" w:rsidRDefault="0080780D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780D" w:rsidRPr="0080780D" w:rsidRDefault="0080780D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где:</w:t>
      </w:r>
    </w:p>
    <w:p w:rsidR="0080780D" w:rsidRDefault="0080780D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РДот</w:t>
      </w:r>
      <w:proofErr w:type="gramStart"/>
      <w:r w:rsidRPr="004E02E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i</w:t>
      </w:r>
      <w:proofErr w:type="spellEnd"/>
      <w:proofErr w:type="gramEnd"/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7800B9" w:rsidRPr="0031676B">
        <w:rPr>
          <w:rFonts w:ascii="Times New Roman" w:hAnsi="Times New Roman"/>
          <w:sz w:val="28"/>
          <w:szCs w:val="28"/>
          <w:lang w:eastAsia="ru-RU"/>
        </w:rPr>
        <w:t xml:space="preserve">расчетный размер </w:t>
      </w:r>
      <w:r w:rsidR="007800B9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дотации </w:t>
      </w:r>
      <w:proofErr w:type="spellStart"/>
      <w:r w:rsidR="007800B9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="007800B9">
        <w:rPr>
          <w:rFonts w:ascii="Times New Roman" w:hAnsi="Times New Roman"/>
          <w:sz w:val="28"/>
          <w:szCs w:val="28"/>
          <w:lang w:eastAsia="ru-RU"/>
        </w:rPr>
        <w:t>-</w:t>
      </w:r>
      <w:r w:rsidR="007800B9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0780D" w:rsidRDefault="003D7DBB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D7D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2D3B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F63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242</w:t>
      </w:r>
      <w:r w:rsidRPr="003D7D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,0 </w:t>
      </w:r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минимальный </w:t>
      </w:r>
      <w:proofErr w:type="gramStart"/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размер оплаты труда</w:t>
      </w:r>
      <w:proofErr w:type="gramEnd"/>
      <w:r w:rsidR="0058337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установленный</w:t>
      </w:r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3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843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7F63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января</w:t>
      </w:r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2D3B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0780D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</w:p>
    <w:p w:rsidR="00984DAF" w:rsidRPr="0080780D" w:rsidRDefault="002D3B33" w:rsidP="00984DA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22 440,0</w:t>
      </w:r>
      <w:r w:rsidR="00984D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984DAF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минимальный </w:t>
      </w:r>
      <w:proofErr w:type="gramStart"/>
      <w:r w:rsidR="00984DAF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размер оплаты труда</w:t>
      </w:r>
      <w:proofErr w:type="gramEnd"/>
      <w:r w:rsidR="00984D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установленный</w:t>
      </w:r>
      <w:r w:rsidR="00984DAF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3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DAF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843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984DAF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984D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января</w:t>
      </w:r>
      <w:r w:rsidR="00984DAF"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7800B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984D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780D" w:rsidRDefault="0080780D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1,6 – районный коэффициент и надбавка за работу в южных районах Дальнего Востока;</w:t>
      </w:r>
    </w:p>
    <w:p w:rsidR="00D9096D" w:rsidRDefault="00D9096D" w:rsidP="00D9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 – численность </w:t>
      </w:r>
      <w:r w:rsidRPr="00342DF9">
        <w:rPr>
          <w:rFonts w:ascii="Times New Roman" w:hAnsi="Times New Roman"/>
          <w:sz w:val="28"/>
          <w:szCs w:val="28"/>
          <w:lang w:eastAsia="ru-RU"/>
        </w:rPr>
        <w:t>работников муниципальных учреждений</w:t>
      </w:r>
      <w:r w:rsidR="005C51FA">
        <w:rPr>
          <w:rFonts w:ascii="Times New Roman" w:hAnsi="Times New Roman"/>
          <w:sz w:val="28"/>
          <w:szCs w:val="28"/>
          <w:lang w:eastAsia="ru-RU"/>
        </w:rPr>
        <w:t>,</w:t>
      </w:r>
      <w:r w:rsidR="005C51FA" w:rsidRPr="005C51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51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осуществляющих трудовую деятельность по основной должности и (или) по совместительству, оплата труда и начисления на </w:t>
      </w:r>
      <w:proofErr w:type="gramStart"/>
      <w:r w:rsidR="005C51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выплаты</w:t>
      </w:r>
      <w:proofErr w:type="gramEnd"/>
      <w:r w:rsidR="005C51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оплате труда которых </w:t>
      </w:r>
      <w:r w:rsidR="00991C5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производятся</w:t>
      </w:r>
      <w:r w:rsidR="005C51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счет средств местного бюджета</w:t>
      </w:r>
      <w:r w:rsidR="005C51FA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096D">
        <w:rPr>
          <w:rFonts w:ascii="Times New Roman" w:hAnsi="Times New Roman"/>
          <w:sz w:val="28"/>
          <w:szCs w:val="28"/>
          <w:lang w:eastAsia="ru-RU"/>
        </w:rPr>
        <w:t xml:space="preserve">средняя заработная плата </w:t>
      </w:r>
      <w:r>
        <w:rPr>
          <w:rFonts w:ascii="Times New Roman" w:hAnsi="Times New Roman"/>
          <w:sz w:val="28"/>
          <w:szCs w:val="28"/>
          <w:lang w:eastAsia="ru-RU"/>
        </w:rPr>
        <w:t>которых ниже</w:t>
      </w:r>
      <w:r w:rsidRPr="00D909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80D">
        <w:rPr>
          <w:rFonts w:ascii="Times New Roman" w:hAnsi="Times New Roman"/>
          <w:sz w:val="28"/>
          <w:szCs w:val="20"/>
          <w:lang w:eastAsia="ru-RU"/>
        </w:rPr>
        <w:t>минимального размера оплаты труда</w:t>
      </w:r>
      <w:r w:rsidR="00583375">
        <w:rPr>
          <w:rFonts w:ascii="Times New Roman" w:hAnsi="Times New Roman"/>
          <w:sz w:val="28"/>
          <w:szCs w:val="20"/>
          <w:lang w:eastAsia="ru-RU"/>
        </w:rPr>
        <w:t>,</w:t>
      </w:r>
      <w:r w:rsidRPr="0080780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82321" w:rsidRPr="00A82321">
        <w:rPr>
          <w:rFonts w:ascii="Times New Roman" w:hAnsi="Times New Roman"/>
          <w:sz w:val="28"/>
          <w:szCs w:val="20"/>
          <w:lang w:eastAsia="ru-RU"/>
        </w:rPr>
        <w:t xml:space="preserve">установленного в соответствии с федеральным законодательством </w:t>
      </w:r>
      <w:r w:rsidR="00843AAA">
        <w:rPr>
          <w:rFonts w:ascii="Times New Roman" w:hAnsi="Times New Roman"/>
          <w:sz w:val="28"/>
          <w:szCs w:val="20"/>
          <w:lang w:eastAsia="ru-RU"/>
        </w:rPr>
        <w:br/>
      </w:r>
      <w:r w:rsidR="00A82321" w:rsidRPr="00A82321">
        <w:rPr>
          <w:rFonts w:ascii="Times New Roman" w:hAnsi="Times New Roman"/>
          <w:sz w:val="28"/>
          <w:szCs w:val="20"/>
          <w:lang w:eastAsia="ru-RU"/>
        </w:rPr>
        <w:t xml:space="preserve">с </w:t>
      </w:r>
      <w:r w:rsidR="00843AAA">
        <w:rPr>
          <w:rFonts w:ascii="Times New Roman" w:hAnsi="Times New Roman"/>
          <w:sz w:val="28"/>
          <w:szCs w:val="20"/>
          <w:lang w:eastAsia="ru-RU"/>
        </w:rPr>
        <w:t>0</w:t>
      </w:r>
      <w:r w:rsidR="00A82321" w:rsidRPr="00A82321">
        <w:rPr>
          <w:rFonts w:ascii="Times New Roman" w:hAnsi="Times New Roman"/>
          <w:sz w:val="28"/>
          <w:szCs w:val="20"/>
          <w:lang w:eastAsia="ru-RU"/>
        </w:rPr>
        <w:t>1 января 202</w:t>
      </w:r>
      <w:r w:rsidR="002D3B33">
        <w:rPr>
          <w:rFonts w:ascii="Times New Roman" w:hAnsi="Times New Roman"/>
          <w:sz w:val="28"/>
          <w:szCs w:val="20"/>
          <w:lang w:eastAsia="ru-RU"/>
        </w:rPr>
        <w:t>5</w:t>
      </w:r>
      <w:r w:rsidR="00A82321" w:rsidRPr="00A82321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9C4B40">
        <w:rPr>
          <w:rFonts w:ascii="Times New Roman" w:hAnsi="Times New Roman"/>
          <w:sz w:val="28"/>
          <w:szCs w:val="28"/>
          <w:lang w:eastAsia="ru-RU"/>
        </w:rPr>
        <w:t>;</w:t>
      </w:r>
    </w:p>
    <w:p w:rsidR="0080780D" w:rsidRPr="0080780D" w:rsidRDefault="0080780D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078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1,302 – коэффициент начислений на выплаты по оплате труда;</w:t>
      </w:r>
    </w:p>
    <w:p w:rsidR="0080780D" w:rsidRDefault="007800B9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7F63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период в месяцах;</w:t>
      </w:r>
    </w:p>
    <w:p w:rsidR="007F6355" w:rsidRDefault="007F6355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0,5 – поправочный коэффициент</w:t>
      </w:r>
      <w:r w:rsidR="00492F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учитывающий объем финансовой помощи муниципальным образованиям из областного бюджета.</w:t>
      </w:r>
    </w:p>
    <w:p w:rsidR="0031676B" w:rsidRDefault="005C51FA" w:rsidP="0080780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. Распределение </w:t>
      </w:r>
      <w:r w:rsidR="00791188">
        <w:rPr>
          <w:rFonts w:ascii="Times New Roman" w:hAnsi="Times New Roman"/>
          <w:sz w:val="28"/>
          <w:szCs w:val="20"/>
          <w:lang w:eastAsia="ru-RU"/>
        </w:rPr>
        <w:t>дотаций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между муниципальными образованиями утверждается распоряжением правительства </w:t>
      </w:r>
      <w:r w:rsidR="007E2A39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>области.</w:t>
      </w:r>
      <w:r w:rsidR="004038AB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CC0903" w:rsidRDefault="005C51FA" w:rsidP="00CC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CC0903" w:rsidRPr="003B2E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C0903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CC0903" w:rsidRPr="004A0B3A">
        <w:rPr>
          <w:rFonts w:ascii="Times New Roman" w:hAnsi="Times New Roman"/>
          <w:sz w:val="28"/>
          <w:szCs w:val="28"/>
          <w:lang w:eastAsia="ru-RU"/>
        </w:rPr>
        <w:t xml:space="preserve"> предо</w:t>
      </w:r>
      <w:r w:rsidR="00CC0903">
        <w:rPr>
          <w:rFonts w:ascii="Times New Roman" w:hAnsi="Times New Roman"/>
          <w:sz w:val="28"/>
          <w:szCs w:val="28"/>
          <w:lang w:eastAsia="ru-RU"/>
        </w:rPr>
        <w:t xml:space="preserve">ставления дотации является </w:t>
      </w:r>
      <w:r w:rsidR="00CC0903" w:rsidRPr="007D2CC6">
        <w:rPr>
          <w:rFonts w:ascii="Times New Roman" w:hAnsi="Times New Roman"/>
          <w:sz w:val="28"/>
          <w:szCs w:val="28"/>
          <w:lang w:eastAsia="ru-RU"/>
        </w:rPr>
        <w:t xml:space="preserve">заключение соглашения </w:t>
      </w:r>
      <w:r w:rsidR="00CC0903">
        <w:rPr>
          <w:rFonts w:ascii="Times New Roman" w:hAnsi="Times New Roman"/>
          <w:sz w:val="28"/>
          <w:szCs w:val="28"/>
          <w:lang w:eastAsia="ru-RU"/>
        </w:rPr>
        <w:t xml:space="preserve">между муниципальным образованием и Департаментом </w:t>
      </w:r>
      <w:r w:rsidR="00CC0903" w:rsidRPr="007D2CC6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</w:t>
      </w:r>
      <w:r w:rsidR="00A82321">
        <w:rPr>
          <w:rFonts w:ascii="Times New Roman" w:hAnsi="Times New Roman"/>
          <w:sz w:val="28"/>
          <w:szCs w:val="28"/>
          <w:lang w:eastAsia="ru-RU"/>
        </w:rPr>
        <w:t>6</w:t>
      </w:r>
      <w:r w:rsidR="00CC0903" w:rsidRPr="007D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2321">
        <w:rPr>
          <w:rFonts w:ascii="Times New Roman" w:hAnsi="Times New Roman"/>
          <w:sz w:val="28"/>
          <w:szCs w:val="28"/>
          <w:lang w:eastAsia="ru-RU"/>
        </w:rPr>
        <w:t>7</w:t>
      </w:r>
      <w:r w:rsidR="00CC0903" w:rsidRPr="007D2CC6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CC0903">
        <w:rPr>
          <w:rFonts w:ascii="Times New Roman" w:hAnsi="Times New Roman"/>
          <w:sz w:val="28"/>
          <w:szCs w:val="28"/>
          <w:lang w:eastAsia="ru-RU"/>
        </w:rPr>
        <w:t xml:space="preserve"> и методики.</w:t>
      </w:r>
    </w:p>
    <w:p w:rsidR="00CC0903" w:rsidRPr="00256374" w:rsidRDefault="005C51FA" w:rsidP="00CC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C09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C0903" w:rsidRPr="00256374">
        <w:rPr>
          <w:rFonts w:ascii="Times New Roman" w:hAnsi="Times New Roman"/>
          <w:sz w:val="28"/>
          <w:szCs w:val="28"/>
          <w:lang w:eastAsia="ru-RU"/>
        </w:rPr>
        <w:t xml:space="preserve">Проект соглашения направляется </w:t>
      </w:r>
      <w:r w:rsidR="00CC0903"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="00CC0903" w:rsidRPr="0025637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52482">
        <w:rPr>
          <w:rFonts w:ascii="Times New Roman" w:hAnsi="Times New Roman"/>
          <w:sz w:val="28"/>
          <w:szCs w:val="28"/>
          <w:lang w:eastAsia="ru-RU"/>
        </w:rPr>
        <w:t>орган местного самоуправления</w:t>
      </w:r>
      <w:r w:rsidR="00CC0903" w:rsidRPr="0025637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CC0903">
        <w:rPr>
          <w:rFonts w:ascii="Times New Roman" w:hAnsi="Times New Roman"/>
          <w:sz w:val="28"/>
          <w:szCs w:val="28"/>
          <w:lang w:eastAsia="ru-RU"/>
        </w:rPr>
        <w:t>не позднее 1</w:t>
      </w:r>
      <w:r w:rsidR="000F429C">
        <w:rPr>
          <w:rFonts w:ascii="Times New Roman" w:hAnsi="Times New Roman"/>
          <w:sz w:val="28"/>
          <w:szCs w:val="28"/>
          <w:lang w:eastAsia="ru-RU"/>
        </w:rPr>
        <w:t>5</w:t>
      </w:r>
      <w:r w:rsidR="00CC0903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вступления в силу настоящего постановления.</w:t>
      </w:r>
    </w:p>
    <w:p w:rsidR="00CC0903" w:rsidRPr="00256374" w:rsidRDefault="00CC0903" w:rsidP="00CC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В срок не позднее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поступления проекта соглашения от </w:t>
      </w:r>
      <w:r>
        <w:rPr>
          <w:rFonts w:ascii="Times New Roman" w:hAnsi="Times New Roman"/>
          <w:sz w:val="28"/>
          <w:szCs w:val="28"/>
          <w:lang w:eastAsia="ru-RU"/>
        </w:rPr>
        <w:t>Департамента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указанный проект подписывается </w:t>
      </w:r>
      <w:r w:rsidR="00052482">
        <w:rPr>
          <w:rFonts w:ascii="Times New Roman" w:hAnsi="Times New Roman"/>
          <w:sz w:val="28"/>
          <w:szCs w:val="28"/>
          <w:lang w:eastAsia="ru-RU"/>
        </w:rPr>
        <w:t xml:space="preserve">органом местного самоуправления 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и в течение </w:t>
      </w:r>
      <w:r w:rsidR="0005248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подписания направляется в </w:t>
      </w:r>
      <w:r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5248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экземплярах на бумажном носителе.</w:t>
      </w:r>
    </w:p>
    <w:p w:rsidR="00CC0903" w:rsidRPr="00256374" w:rsidRDefault="00CC0903" w:rsidP="00CC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Проект соглашения подписывается </w:t>
      </w:r>
      <w:r w:rsidR="005C51FA"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экземплярах в течение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</w:t>
      </w:r>
      <w:r w:rsidR="000524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носителе. Один экземпляр подписанного соглашения направляется в </w:t>
      </w:r>
      <w:r w:rsidR="00052482">
        <w:rPr>
          <w:rFonts w:ascii="Times New Roman" w:hAnsi="Times New Roman"/>
          <w:sz w:val="28"/>
          <w:szCs w:val="28"/>
          <w:lang w:eastAsia="ru-RU"/>
        </w:rPr>
        <w:t>орган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подписания </w:t>
      </w:r>
      <w:r>
        <w:rPr>
          <w:rFonts w:ascii="Times New Roman" w:hAnsi="Times New Roman"/>
          <w:sz w:val="28"/>
          <w:szCs w:val="28"/>
          <w:lang w:eastAsia="ru-RU"/>
        </w:rPr>
        <w:t>соглашения Департамент</w:t>
      </w:r>
      <w:r w:rsidR="005C51FA">
        <w:rPr>
          <w:rFonts w:ascii="Times New Roman" w:hAnsi="Times New Roman"/>
          <w:sz w:val="28"/>
          <w:szCs w:val="28"/>
          <w:lang w:eastAsia="ru-RU"/>
        </w:rPr>
        <w:t>ом</w:t>
      </w:r>
      <w:r w:rsidRPr="00256374">
        <w:rPr>
          <w:rFonts w:ascii="Times New Roman" w:hAnsi="Times New Roman"/>
          <w:sz w:val="28"/>
          <w:szCs w:val="28"/>
          <w:lang w:eastAsia="ru-RU"/>
        </w:rPr>
        <w:t>.</w:t>
      </w:r>
    </w:p>
    <w:p w:rsidR="00494711" w:rsidRPr="009B1CDC" w:rsidRDefault="005C51FA" w:rsidP="00CC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CC0903">
        <w:rPr>
          <w:rFonts w:ascii="Times New Roman" w:hAnsi="Times New Roman"/>
          <w:sz w:val="28"/>
          <w:szCs w:val="28"/>
          <w:lang w:eastAsia="ru-RU"/>
        </w:rPr>
        <w:t>. В соглашение включае</w:t>
      </w:r>
      <w:r w:rsidR="00CC0903" w:rsidRPr="00256374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CC0903">
        <w:rPr>
          <w:rFonts w:ascii="Times New Roman" w:hAnsi="Times New Roman"/>
          <w:sz w:val="28"/>
          <w:szCs w:val="28"/>
          <w:lang w:eastAsia="ru-RU"/>
        </w:rPr>
        <w:t xml:space="preserve">обязательство муниципального образования по направлению средств дотации на </w:t>
      </w:r>
      <w:r w:rsidR="00CC0903">
        <w:rPr>
          <w:rFonts w:ascii="Times New Roman" w:hAnsi="Times New Roman"/>
          <w:sz w:val="28"/>
          <w:szCs w:val="20"/>
          <w:lang w:eastAsia="ru-RU"/>
        </w:rPr>
        <w:t xml:space="preserve">финансовое обеспечение расходных обязательств </w:t>
      </w:r>
      <w:r w:rsidR="00052482">
        <w:rPr>
          <w:rFonts w:ascii="Times New Roman" w:hAnsi="Times New Roman"/>
          <w:sz w:val="28"/>
          <w:szCs w:val="20"/>
          <w:lang w:eastAsia="ru-RU"/>
        </w:rPr>
        <w:t>муниципальных образований</w:t>
      </w:r>
      <w:r w:rsidR="00052482" w:rsidRPr="0080780D">
        <w:rPr>
          <w:rFonts w:ascii="Times New Roman" w:hAnsi="Times New Roman"/>
          <w:sz w:val="28"/>
          <w:szCs w:val="20"/>
          <w:lang w:eastAsia="ru-RU"/>
        </w:rPr>
        <w:t xml:space="preserve"> по доведению заработной платы работников муниципальных учреждений до минимального </w:t>
      </w:r>
      <w:proofErr w:type="gramStart"/>
      <w:r w:rsidR="00052482" w:rsidRPr="0080780D">
        <w:rPr>
          <w:rFonts w:ascii="Times New Roman" w:hAnsi="Times New Roman"/>
          <w:sz w:val="28"/>
          <w:szCs w:val="20"/>
          <w:lang w:eastAsia="ru-RU"/>
        </w:rPr>
        <w:t>размера оплаты труда</w:t>
      </w:r>
      <w:proofErr w:type="gramEnd"/>
      <w:r w:rsidR="00052482" w:rsidRPr="0080780D">
        <w:rPr>
          <w:rFonts w:ascii="Times New Roman" w:hAnsi="Times New Roman"/>
          <w:sz w:val="28"/>
          <w:szCs w:val="20"/>
          <w:lang w:eastAsia="ru-RU"/>
        </w:rPr>
        <w:t xml:space="preserve">, установленного </w:t>
      </w:r>
      <w:r w:rsidR="00052482">
        <w:rPr>
          <w:rFonts w:ascii="Times New Roman" w:hAnsi="Times New Roman"/>
          <w:sz w:val="28"/>
          <w:szCs w:val="20"/>
          <w:lang w:eastAsia="ru-RU"/>
        </w:rPr>
        <w:t xml:space="preserve">в соответствии с федеральным законодательством </w:t>
      </w:r>
      <w:r w:rsidR="00052482" w:rsidRPr="0080780D">
        <w:rPr>
          <w:rFonts w:ascii="Times New Roman" w:hAnsi="Times New Roman"/>
          <w:sz w:val="28"/>
          <w:szCs w:val="20"/>
          <w:lang w:eastAsia="ru-RU"/>
        </w:rPr>
        <w:t xml:space="preserve">с </w:t>
      </w:r>
      <w:r w:rsidR="00843AAA">
        <w:rPr>
          <w:rFonts w:ascii="Times New Roman" w:hAnsi="Times New Roman"/>
          <w:sz w:val="28"/>
          <w:szCs w:val="20"/>
          <w:lang w:eastAsia="ru-RU"/>
        </w:rPr>
        <w:t>0</w:t>
      </w:r>
      <w:r w:rsidR="00052482" w:rsidRPr="0080780D">
        <w:rPr>
          <w:rFonts w:ascii="Times New Roman" w:hAnsi="Times New Roman"/>
          <w:sz w:val="28"/>
          <w:szCs w:val="20"/>
          <w:lang w:eastAsia="ru-RU"/>
        </w:rPr>
        <w:t xml:space="preserve">1 </w:t>
      </w:r>
      <w:r w:rsidR="00052482">
        <w:rPr>
          <w:rFonts w:ascii="Times New Roman" w:hAnsi="Times New Roman"/>
          <w:sz w:val="28"/>
          <w:szCs w:val="20"/>
          <w:lang w:eastAsia="ru-RU"/>
        </w:rPr>
        <w:t>января</w:t>
      </w:r>
      <w:r w:rsidR="00052482" w:rsidRPr="0080780D">
        <w:rPr>
          <w:rFonts w:ascii="Times New Roman" w:hAnsi="Times New Roman"/>
          <w:sz w:val="28"/>
          <w:szCs w:val="20"/>
          <w:lang w:eastAsia="ru-RU"/>
        </w:rPr>
        <w:t xml:space="preserve"> 20</w:t>
      </w:r>
      <w:r w:rsidR="002D3B33">
        <w:rPr>
          <w:rFonts w:ascii="Times New Roman" w:hAnsi="Times New Roman"/>
          <w:sz w:val="28"/>
          <w:szCs w:val="20"/>
          <w:lang w:eastAsia="ru-RU"/>
        </w:rPr>
        <w:t>25</w:t>
      </w:r>
      <w:r w:rsidR="00052482" w:rsidRPr="0080780D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D86335">
        <w:rPr>
          <w:rFonts w:ascii="Times New Roman" w:hAnsi="Times New Roman"/>
          <w:sz w:val="28"/>
          <w:szCs w:val="20"/>
          <w:lang w:eastAsia="ru-RU"/>
        </w:rPr>
        <w:t>.</w:t>
      </w:r>
    </w:p>
    <w:sectPr w:rsidR="00494711" w:rsidRPr="009B1CDC" w:rsidSect="00593F04">
      <w:pgSz w:w="11907" w:h="16840" w:code="9"/>
      <w:pgMar w:top="1134" w:right="851" w:bottom="1134" w:left="170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37" w:rsidRDefault="00BD3437">
      <w:pPr>
        <w:spacing w:after="0" w:line="240" w:lineRule="auto"/>
      </w:pPr>
      <w:r>
        <w:separator/>
      </w:r>
    </w:p>
  </w:endnote>
  <w:endnote w:type="continuationSeparator" w:id="0">
    <w:p w:rsidR="00BD3437" w:rsidRDefault="00BD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37" w:rsidRDefault="00BD3437">
      <w:pPr>
        <w:spacing w:after="0" w:line="240" w:lineRule="auto"/>
      </w:pPr>
      <w:r>
        <w:separator/>
      </w:r>
    </w:p>
  </w:footnote>
  <w:footnote w:type="continuationSeparator" w:id="0">
    <w:p w:rsidR="00BD3437" w:rsidRDefault="00BD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Default="00A53861" w:rsidP="00A53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53861" w:rsidRDefault="00A538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Pr="00A754E8" w:rsidRDefault="00A53861">
    <w:pPr>
      <w:pStyle w:val="a3"/>
      <w:jc w:val="center"/>
      <w:rPr>
        <w:rFonts w:ascii="Times New Roman" w:hAnsi="Times New Roman"/>
        <w:sz w:val="24"/>
        <w:szCs w:val="24"/>
      </w:rPr>
    </w:pPr>
    <w:r w:rsidRPr="00A754E8">
      <w:rPr>
        <w:rFonts w:ascii="Times New Roman" w:hAnsi="Times New Roman"/>
        <w:sz w:val="24"/>
        <w:szCs w:val="24"/>
      </w:rPr>
      <w:fldChar w:fldCharType="begin"/>
    </w:r>
    <w:r w:rsidRPr="00A754E8">
      <w:rPr>
        <w:rFonts w:ascii="Times New Roman" w:hAnsi="Times New Roman"/>
        <w:sz w:val="24"/>
        <w:szCs w:val="24"/>
      </w:rPr>
      <w:instrText>PAGE   \* MERGEFORMAT</w:instrText>
    </w:r>
    <w:r w:rsidRPr="00A754E8">
      <w:rPr>
        <w:rFonts w:ascii="Times New Roman" w:hAnsi="Times New Roman"/>
        <w:sz w:val="24"/>
        <w:szCs w:val="24"/>
      </w:rPr>
      <w:fldChar w:fldCharType="separate"/>
    </w:r>
    <w:r w:rsidR="0085713F">
      <w:rPr>
        <w:rFonts w:ascii="Times New Roman" w:hAnsi="Times New Roman"/>
        <w:noProof/>
        <w:sz w:val="24"/>
        <w:szCs w:val="24"/>
      </w:rPr>
      <w:t>2</w:t>
    </w:r>
    <w:r w:rsidRPr="00A754E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8-01-23'}"/>
    <w:docVar w:name="attr1#Наименование" w:val="VARCHAR#Об утверждении Порядка предоставления в 2018 году дотации на частичную компенсацию дополнительных расходов на повышение оплаты труда работников бюджетной сферы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8-01-23'}"/>
    <w:docVar w:name="attr5#Бланк" w:val="OID_TYPE#"/>
    <w:docVar w:name="ESED_ActEdition" w:val="1"/>
    <w:docVar w:name="ESED_AutorEdition" w:val="Ягудаева О.А."/>
    <w:docVar w:name="ESED_CurEdition" w:val="1"/>
    <w:docVar w:name="ESED_Edition" w:val="1"/>
    <w:docVar w:name="ESED_IDnum" w:val="Ягудаева/2018-220"/>
    <w:docVar w:name="ESED_Lock" w:val="1"/>
    <w:docVar w:name="SPD_Annotation" w:val="Ягудаева/2018-220(1)#Об утверждении Порядка предоставления в 2018 году дотации на частичную компенсацию дополнительных расходов на повышение оплаты труда работников бюджетной сферы#Постановление правительства ЕАО   Бородавко Е.В.#Дата создания редакции: 23.01.2018"/>
    <w:docVar w:name="SPD_AreaName" w:val="Документ (ЕСЭД)"/>
    <w:docVar w:name="SPD_hostURL" w:val="base-eao"/>
    <w:docVar w:name="SPD_NumDoc" w:val="127821"/>
    <w:docVar w:name="SPD_vDir" w:val="spd"/>
  </w:docVars>
  <w:rsids>
    <w:rsidRoot w:val="00195D56"/>
    <w:rsid w:val="00007174"/>
    <w:rsid w:val="00052482"/>
    <w:rsid w:val="00095E93"/>
    <w:rsid w:val="000A1C03"/>
    <w:rsid w:val="000B5F72"/>
    <w:rsid w:val="000B7803"/>
    <w:rsid w:val="000E3179"/>
    <w:rsid w:val="000F429C"/>
    <w:rsid w:val="000F7095"/>
    <w:rsid w:val="0010496A"/>
    <w:rsid w:val="00113D8E"/>
    <w:rsid w:val="00114A02"/>
    <w:rsid w:val="00132958"/>
    <w:rsid w:val="0014327B"/>
    <w:rsid w:val="00156A6F"/>
    <w:rsid w:val="001623D4"/>
    <w:rsid w:val="00182EF8"/>
    <w:rsid w:val="00195D56"/>
    <w:rsid w:val="00196792"/>
    <w:rsid w:val="00196985"/>
    <w:rsid w:val="001F2B88"/>
    <w:rsid w:val="001F58F0"/>
    <w:rsid w:val="00202B48"/>
    <w:rsid w:val="002161C8"/>
    <w:rsid w:val="002419B0"/>
    <w:rsid w:val="00256374"/>
    <w:rsid w:val="002600FA"/>
    <w:rsid w:val="00263C2B"/>
    <w:rsid w:val="002861A1"/>
    <w:rsid w:val="00296A96"/>
    <w:rsid w:val="002B4CB1"/>
    <w:rsid w:val="002C640E"/>
    <w:rsid w:val="002C76A6"/>
    <w:rsid w:val="002D0030"/>
    <w:rsid w:val="002D3B33"/>
    <w:rsid w:val="002D56A5"/>
    <w:rsid w:val="003143D7"/>
    <w:rsid w:val="0031676B"/>
    <w:rsid w:val="003353BC"/>
    <w:rsid w:val="00342DF9"/>
    <w:rsid w:val="00344BC2"/>
    <w:rsid w:val="003626F1"/>
    <w:rsid w:val="00374F4B"/>
    <w:rsid w:val="003B2EDA"/>
    <w:rsid w:val="003C2DDF"/>
    <w:rsid w:val="003D1734"/>
    <w:rsid w:val="003D7DBB"/>
    <w:rsid w:val="003E2B7D"/>
    <w:rsid w:val="003F0AC7"/>
    <w:rsid w:val="003F0FC4"/>
    <w:rsid w:val="003F1D4F"/>
    <w:rsid w:val="004038AB"/>
    <w:rsid w:val="0041007A"/>
    <w:rsid w:val="00421F9F"/>
    <w:rsid w:val="00423EC2"/>
    <w:rsid w:val="00460A13"/>
    <w:rsid w:val="00483B98"/>
    <w:rsid w:val="00492FC5"/>
    <w:rsid w:val="00494711"/>
    <w:rsid w:val="004A0B3A"/>
    <w:rsid w:val="004A32B9"/>
    <w:rsid w:val="004B5C74"/>
    <w:rsid w:val="004C287A"/>
    <w:rsid w:val="004D21B8"/>
    <w:rsid w:val="004E02E5"/>
    <w:rsid w:val="00501DDA"/>
    <w:rsid w:val="00515B04"/>
    <w:rsid w:val="00530846"/>
    <w:rsid w:val="00536B54"/>
    <w:rsid w:val="00545E7C"/>
    <w:rsid w:val="005548CA"/>
    <w:rsid w:val="00560702"/>
    <w:rsid w:val="00561A98"/>
    <w:rsid w:val="00564E29"/>
    <w:rsid w:val="00583375"/>
    <w:rsid w:val="00593F04"/>
    <w:rsid w:val="005A5909"/>
    <w:rsid w:val="005A7A31"/>
    <w:rsid w:val="005B54BB"/>
    <w:rsid w:val="005C51FA"/>
    <w:rsid w:val="005D100C"/>
    <w:rsid w:val="005F2A29"/>
    <w:rsid w:val="00627203"/>
    <w:rsid w:val="00630B46"/>
    <w:rsid w:val="00667EF2"/>
    <w:rsid w:val="006956AB"/>
    <w:rsid w:val="00695922"/>
    <w:rsid w:val="006C5495"/>
    <w:rsid w:val="006D1F5E"/>
    <w:rsid w:val="006E77C8"/>
    <w:rsid w:val="006E7A2B"/>
    <w:rsid w:val="006F1851"/>
    <w:rsid w:val="00701AAB"/>
    <w:rsid w:val="00713FF7"/>
    <w:rsid w:val="0072219D"/>
    <w:rsid w:val="00730847"/>
    <w:rsid w:val="00731517"/>
    <w:rsid w:val="007353CB"/>
    <w:rsid w:val="007400B9"/>
    <w:rsid w:val="00750969"/>
    <w:rsid w:val="007800B9"/>
    <w:rsid w:val="00791188"/>
    <w:rsid w:val="00792806"/>
    <w:rsid w:val="00793181"/>
    <w:rsid w:val="007C5AD5"/>
    <w:rsid w:val="007D2CC6"/>
    <w:rsid w:val="007E2A39"/>
    <w:rsid w:val="007F0731"/>
    <w:rsid w:val="007F6355"/>
    <w:rsid w:val="00805F6C"/>
    <w:rsid w:val="0080780D"/>
    <w:rsid w:val="00814C14"/>
    <w:rsid w:val="00815F85"/>
    <w:rsid w:val="00843AAA"/>
    <w:rsid w:val="0085713F"/>
    <w:rsid w:val="008715BC"/>
    <w:rsid w:val="00886CEA"/>
    <w:rsid w:val="008A5AE3"/>
    <w:rsid w:val="008E08C6"/>
    <w:rsid w:val="009001D5"/>
    <w:rsid w:val="00911642"/>
    <w:rsid w:val="00946683"/>
    <w:rsid w:val="00952233"/>
    <w:rsid w:val="00953F6C"/>
    <w:rsid w:val="009674A8"/>
    <w:rsid w:val="0098044A"/>
    <w:rsid w:val="00984DAF"/>
    <w:rsid w:val="00991C59"/>
    <w:rsid w:val="00991F09"/>
    <w:rsid w:val="009B1CDC"/>
    <w:rsid w:val="009B34BD"/>
    <w:rsid w:val="009B5C23"/>
    <w:rsid w:val="009C131C"/>
    <w:rsid w:val="009C4B40"/>
    <w:rsid w:val="00A07BD2"/>
    <w:rsid w:val="00A25679"/>
    <w:rsid w:val="00A40C0D"/>
    <w:rsid w:val="00A53861"/>
    <w:rsid w:val="00A7134B"/>
    <w:rsid w:val="00A75344"/>
    <w:rsid w:val="00A754E8"/>
    <w:rsid w:val="00A82321"/>
    <w:rsid w:val="00AA267B"/>
    <w:rsid w:val="00AA4EB8"/>
    <w:rsid w:val="00AD6E26"/>
    <w:rsid w:val="00AF013F"/>
    <w:rsid w:val="00AF3E44"/>
    <w:rsid w:val="00B3532C"/>
    <w:rsid w:val="00B46283"/>
    <w:rsid w:val="00B51AA4"/>
    <w:rsid w:val="00B676B5"/>
    <w:rsid w:val="00B67D72"/>
    <w:rsid w:val="00B83D04"/>
    <w:rsid w:val="00B83DFC"/>
    <w:rsid w:val="00BD3437"/>
    <w:rsid w:val="00BE6DF7"/>
    <w:rsid w:val="00C10F14"/>
    <w:rsid w:val="00C14ADD"/>
    <w:rsid w:val="00C22E97"/>
    <w:rsid w:val="00C41F21"/>
    <w:rsid w:val="00C43163"/>
    <w:rsid w:val="00C43B48"/>
    <w:rsid w:val="00CA63B4"/>
    <w:rsid w:val="00CB1B0C"/>
    <w:rsid w:val="00CB2132"/>
    <w:rsid w:val="00CB37C4"/>
    <w:rsid w:val="00CC0903"/>
    <w:rsid w:val="00CC1599"/>
    <w:rsid w:val="00CE43D0"/>
    <w:rsid w:val="00CE5BE5"/>
    <w:rsid w:val="00CE5F4C"/>
    <w:rsid w:val="00CF0C99"/>
    <w:rsid w:val="00D06A19"/>
    <w:rsid w:val="00D30465"/>
    <w:rsid w:val="00D35CC5"/>
    <w:rsid w:val="00D4285D"/>
    <w:rsid w:val="00D55B69"/>
    <w:rsid w:val="00D642E6"/>
    <w:rsid w:val="00D86335"/>
    <w:rsid w:val="00D9096D"/>
    <w:rsid w:val="00DB0B26"/>
    <w:rsid w:val="00DC0E6F"/>
    <w:rsid w:val="00DD15CF"/>
    <w:rsid w:val="00DD63B6"/>
    <w:rsid w:val="00DE00AE"/>
    <w:rsid w:val="00E01942"/>
    <w:rsid w:val="00E11410"/>
    <w:rsid w:val="00E16E79"/>
    <w:rsid w:val="00E173D7"/>
    <w:rsid w:val="00E440E3"/>
    <w:rsid w:val="00EA43E2"/>
    <w:rsid w:val="00EB2E6B"/>
    <w:rsid w:val="00EB7399"/>
    <w:rsid w:val="00EB7D81"/>
    <w:rsid w:val="00EC0073"/>
    <w:rsid w:val="00ED1D8D"/>
    <w:rsid w:val="00ED3CC6"/>
    <w:rsid w:val="00ED5AE6"/>
    <w:rsid w:val="00ED7B75"/>
    <w:rsid w:val="00EF54B3"/>
    <w:rsid w:val="00F01DC3"/>
    <w:rsid w:val="00F031CA"/>
    <w:rsid w:val="00F2480C"/>
    <w:rsid w:val="00F36589"/>
    <w:rsid w:val="00F46CC3"/>
    <w:rsid w:val="00F5298D"/>
    <w:rsid w:val="00F92F7A"/>
    <w:rsid w:val="00F966FB"/>
    <w:rsid w:val="00FA19B1"/>
    <w:rsid w:val="00FA476E"/>
    <w:rsid w:val="00FD31E1"/>
    <w:rsid w:val="00FD5A77"/>
    <w:rsid w:val="00FE52CF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676B"/>
    <w:rPr>
      <w:rFonts w:cs="Times New Roman"/>
    </w:rPr>
  </w:style>
  <w:style w:type="character" w:styleId="a5">
    <w:name w:val="page number"/>
    <w:basedOn w:val="a0"/>
    <w:uiPriority w:val="99"/>
    <w:rsid w:val="003167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4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3163"/>
    <w:rPr>
      <w:rFonts w:cs="Times New Roman"/>
    </w:rPr>
  </w:style>
  <w:style w:type="paragraph" w:styleId="a8">
    <w:name w:val="List Paragraph"/>
    <w:basedOn w:val="a"/>
    <w:uiPriority w:val="34"/>
    <w:qFormat/>
    <w:rsid w:val="007911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D49B-5457-4E7C-A5B9-519CB7A3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Галина Николаевна</dc:creator>
  <cp:lastModifiedBy>Тюкова Ольга Алексеевна</cp:lastModifiedBy>
  <cp:revision>65</cp:revision>
  <cp:lastPrinted>2020-06-03T00:45:00Z</cp:lastPrinted>
  <dcterms:created xsi:type="dcterms:W3CDTF">2020-04-03T06:47:00Z</dcterms:created>
  <dcterms:modified xsi:type="dcterms:W3CDTF">2025-02-27T04:10:00Z</dcterms:modified>
</cp:coreProperties>
</file>